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E07C49"/>
    <w:p w:rsidR="0000574E" w:rsidRDefault="00820914" w:rsidP="0000574E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3810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74E"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6A5468">
        <w:rPr>
          <w:b/>
        </w:rPr>
        <w:t>CH PRACÍ NA ŠKOLNÍ ROK 2022/2023</w:t>
      </w:r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750891" w:rsidRDefault="00375C0E" w:rsidP="00375C0E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34"/>
      </w:tblGrid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7F3D2E" w:rsidP="003873E2">
            <w:pPr>
              <w:pStyle w:val="Odstavecseseznamem"/>
              <w:spacing w:after="0"/>
              <w:ind w:left="0"/>
              <w:jc w:val="left"/>
            </w:pPr>
            <w:r>
              <w:t xml:space="preserve">Hospodářská trestná činnost z trestněprávního pohledu /daně,  a jiné </w:t>
            </w:r>
            <w:proofErr w:type="spellStart"/>
            <w:r>
              <w:t>tr</w:t>
            </w:r>
            <w:proofErr w:type="spellEnd"/>
            <w:r>
              <w:t>. činy/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0924DC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společnosti-umožňují podnikání v naší společnosti</w:t>
            </w:r>
            <w:r w:rsidR="00321196">
              <w:rPr>
                <w:sz w:val="24"/>
                <w:szCs w:val="24"/>
              </w:rPr>
              <w:t xml:space="preserve"> 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  <w:r w:rsidR="007F3D2E">
              <w:rPr>
                <w:sz w:val="24"/>
                <w:szCs w:val="24"/>
              </w:rPr>
              <w:t xml:space="preserve"> /výbuchy/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</w:t>
            </w:r>
            <w:r w:rsidR="007F3D2E">
              <w:rPr>
                <w:sz w:val="24"/>
                <w:szCs w:val="24"/>
              </w:rPr>
              <w:t>šetřování závažné trestné činnosti –</w:t>
            </w:r>
            <w:r w:rsidR="00321196">
              <w:rPr>
                <w:sz w:val="24"/>
                <w:szCs w:val="24"/>
              </w:rPr>
              <w:t xml:space="preserve"> </w:t>
            </w:r>
            <w:r w:rsidR="007F3D2E">
              <w:rPr>
                <w:sz w:val="24"/>
                <w:szCs w:val="24"/>
              </w:rPr>
              <w:t>loupeže, vraždy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4A4DAF" w:rsidP="003873E2">
            <w:pPr>
              <w:contextualSpacing/>
            </w:pPr>
            <w:r>
              <w:t>Závěť – testament v kontextu Občanského práva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321196" w:rsidP="003873E2">
            <w:pPr>
              <w:contextualSpacing/>
            </w:pPr>
            <w:r>
              <w:t>Kontrola a právní záruky ve veřejné správě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</w:t>
            </w:r>
            <w:r w:rsidR="007F3D2E">
              <w:t> pohledu policisty P ČR</w:t>
            </w:r>
          </w:p>
        </w:tc>
      </w:tr>
      <w:tr w:rsidR="00D15D2E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spacing w:after="240"/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 w:rsidRPr="00953E07">
              <w:t>Úloha trestního práva v prevenci kriminality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>
              <w:t>Vztah rodičů a dětí, rodičovská odpovědnost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>
              <w:t>Správní řízení realizované obcí s rozšířenou působností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Default="00DE1DB6" w:rsidP="00DE1DB6">
            <w:r w:rsidRPr="00953E07">
              <w:t>Trestní řízení, jeho průběh a spolupráce OČTŘ</w:t>
            </w:r>
          </w:p>
          <w:p w:rsidR="00DE1DB6" w:rsidRPr="00953E07" w:rsidRDefault="00DE1DB6" w:rsidP="003873E2">
            <w:pPr>
              <w:spacing w:after="240"/>
              <w:contextualSpacing/>
            </w:pPr>
          </w:p>
        </w:tc>
      </w:tr>
    </w:tbl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DE1DB6" w:rsidRDefault="00DE1DB6" w:rsidP="00496828">
      <w:pPr>
        <w:tabs>
          <w:tab w:val="left" w:pos="1050"/>
        </w:tabs>
        <w:rPr>
          <w:b/>
          <w:u w:val="single"/>
        </w:rPr>
      </w:pPr>
    </w:p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 xml:space="preserve">PSYCHOLOGIE 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Syndrom vyhoření ve složkách IZS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Rozvod rodičů a jeho vliv na dospělý život dětí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Strategie psychologických válečných operací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Sociálně úspěšní psychopati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1D0523" w:rsidP="0084621C">
            <w:pPr>
              <w:spacing w:after="200"/>
              <w:contextualSpacing/>
            </w:pPr>
            <w:r>
              <w:t>Úzkostné poruchy a jejich terapie</w:t>
            </w:r>
            <w:bookmarkStart w:id="0" w:name="_GoBack"/>
            <w:bookmarkEnd w:id="0"/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750891" w:rsidRDefault="00750891" w:rsidP="00496828">
      <w:pPr>
        <w:rPr>
          <w:b/>
          <w:u w:val="single"/>
        </w:rPr>
      </w:pPr>
    </w:p>
    <w:p w:rsidR="003873E2" w:rsidRDefault="003873E2" w:rsidP="00D676FE">
      <w:pPr>
        <w:tabs>
          <w:tab w:val="left" w:pos="1050"/>
        </w:tabs>
        <w:rPr>
          <w:color w:val="FF0000"/>
        </w:rPr>
      </w:pPr>
    </w:p>
    <w:p w:rsidR="00375C0E" w:rsidRPr="00750891" w:rsidRDefault="00375C0E" w:rsidP="00B63F94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 xml:space="preserve">(pouze </w:t>
      </w:r>
      <w:r w:rsidR="00796E8B" w:rsidRPr="00750891">
        <w:rPr>
          <w:color w:val="FF0000"/>
        </w:rPr>
        <w:t xml:space="preserve">obor </w:t>
      </w:r>
      <w:r w:rsidRPr="00750891">
        <w:rPr>
          <w:color w:val="FF0000"/>
        </w:rPr>
        <w:t>krizové řízení)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B63F94">
      <w:pPr>
        <w:tabs>
          <w:tab w:val="left" w:pos="1050"/>
        </w:tabs>
        <w:jc w:val="center"/>
      </w:pPr>
    </w:p>
    <w:p w:rsidR="00B63F94" w:rsidRDefault="0006734B" w:rsidP="00B63F94">
      <w:pPr>
        <w:tabs>
          <w:tab w:val="left" w:pos="1050"/>
        </w:tabs>
        <w:jc w:val="center"/>
        <w:rPr>
          <w:b/>
          <w:u w:val="single"/>
        </w:rPr>
      </w:pPr>
      <w:r>
        <w:t xml:space="preserve">  </w:t>
      </w:r>
      <w:r w:rsidR="00B63F94" w:rsidRPr="005A1AB9">
        <w:rPr>
          <w:b/>
          <w:u w:val="single"/>
        </w:rPr>
        <w:t>KRIZOVÉ ŘÍZENÍ</w:t>
      </w:r>
    </w:p>
    <w:p w:rsidR="0000574E" w:rsidRDefault="0000574E" w:rsidP="0000574E">
      <w:pPr>
        <w:tabs>
          <w:tab w:val="left" w:pos="1050"/>
        </w:tabs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Analýza mimořádných událostí na území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Bezpečnostní strategie a bezpečnostní systém České republiky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Činnost jednotlivých složek IZS při krizových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Evakuace obyvatelstva při různých typech mimořádných událostí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Humanitární pomoc postiženému obyvatelstvu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Kolektivní ochrana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Nouzové přežití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Ukrytí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Protipovodňová ochrana velkých měst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ind w:left="34"/>
            </w:pPr>
            <w:proofErr w:type="spellStart"/>
            <w:r>
              <w:t>Superterorismus</w:t>
            </w:r>
            <w:proofErr w:type="spellEnd"/>
            <w:r>
              <w:t xml:space="preserve"> historie a současnost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Úkoly a stru</w:t>
            </w:r>
            <w:r w:rsidR="00994959">
              <w:t>ktura bezpečnostního systému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Varování a vyrozumění v mimořádných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Význam ochrany kritické infrastruktury pro bezpečnost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Zajištění kybernetické bezpečnosti ČR</w:t>
            </w:r>
          </w:p>
        </w:tc>
      </w:tr>
    </w:tbl>
    <w:p w:rsidR="00B63F94" w:rsidRDefault="00B63F94" w:rsidP="005A1AB9">
      <w:pPr>
        <w:tabs>
          <w:tab w:val="left" w:pos="1050"/>
        </w:tabs>
        <w:jc w:val="center"/>
        <w:rPr>
          <w:b/>
          <w:u w:val="single"/>
        </w:rPr>
      </w:pPr>
    </w:p>
    <w:p w:rsidR="00D676FE" w:rsidRDefault="00D676FE" w:rsidP="00496828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  <w:r>
        <w:rPr>
          <w:b/>
          <w:u w:val="single"/>
        </w:rPr>
        <w:t>PRŮMYSLOVÉ HAVÁRIE</w:t>
      </w:r>
    </w:p>
    <w:p w:rsidR="000B7945" w:rsidRDefault="000B7945" w:rsidP="005A1AB9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</w:tblGrid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Exploze zemního plynu v budovách příčiny a následky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Otravy oxidem uhelnatým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Výbuch hnojiva v Libanonu v přístavu Bejrút 2020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4B28D7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Havárie jaderné elektrárny </w:t>
            </w:r>
            <w:proofErr w:type="spellStart"/>
            <w:r w:rsidRPr="00E668B9">
              <w:t>Fukušima</w:t>
            </w:r>
            <w:proofErr w:type="spellEnd"/>
          </w:p>
        </w:tc>
      </w:tr>
      <w:tr w:rsidR="0061063C" w:rsidRPr="005D27F7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Havárie jaderných elektráren</w:t>
            </w:r>
          </w:p>
        </w:tc>
      </w:tr>
      <w:tr w:rsidR="0061063C" w:rsidRPr="005D27F7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Biologické zbraně a </w:t>
            </w:r>
            <w:proofErr w:type="spellStart"/>
            <w:r w:rsidRPr="00E668B9">
              <w:t>Coronavir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Kauza </w:t>
            </w:r>
            <w:proofErr w:type="spellStart"/>
            <w:r w:rsidRPr="00E668B9">
              <w:t>Vrbětice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Případ </w:t>
            </w:r>
            <w:proofErr w:type="spellStart"/>
            <w:r w:rsidRPr="00E668B9">
              <w:t>Novičok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Zbraně hromadného ničení a jaderná válka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Chemické havárie ve vybrané oblasti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 Příčiny a důsledky </w:t>
            </w:r>
            <w:proofErr w:type="spellStart"/>
            <w:r w:rsidRPr="00E668B9">
              <w:t>Blackoutu</w:t>
            </w:r>
            <w:proofErr w:type="spellEnd"/>
            <w:r w:rsidRPr="00E668B9">
              <w:t xml:space="preserve"> v ČR</w:t>
            </w:r>
          </w:p>
        </w:tc>
      </w:tr>
    </w:tbl>
    <w:p w:rsidR="00D676FE" w:rsidRDefault="00D676FE" w:rsidP="00496828">
      <w:pPr>
        <w:pStyle w:val="Odstavecseseznamem"/>
        <w:spacing w:line="240" w:lineRule="auto"/>
        <w:ind w:left="0"/>
        <w:rPr>
          <w:b/>
          <w:u w:val="single"/>
        </w:rPr>
      </w:pPr>
    </w:p>
    <w:p w:rsidR="00CA6001" w:rsidRPr="00CA6001" w:rsidRDefault="00CA6001" w:rsidP="003873E2">
      <w:pPr>
        <w:pStyle w:val="Odstavecseseznamem"/>
        <w:spacing w:line="240" w:lineRule="auto"/>
        <w:ind w:left="0"/>
        <w:jc w:val="center"/>
        <w:rPr>
          <w:color w:val="FF0000"/>
          <w:u w:val="single"/>
        </w:rPr>
      </w:pPr>
      <w:r w:rsidRPr="00CA6001">
        <w:rPr>
          <w:b/>
          <w:u w:val="single"/>
        </w:rPr>
        <w:t>ŽIVELNÉ POHROMY</w:t>
      </w:r>
    </w:p>
    <w:p w:rsidR="000B7945" w:rsidRDefault="000B7945" w:rsidP="003873E2">
      <w:pPr>
        <w:tabs>
          <w:tab w:val="left" w:pos="1050"/>
        </w:tabs>
        <w:jc w:val="center"/>
        <w:rPr>
          <w:b/>
          <w:u w:val="single"/>
        </w:rPr>
      </w:pPr>
    </w:p>
    <w:p w:rsidR="00CA6001" w:rsidRPr="005A1AB9" w:rsidRDefault="00CA6001" w:rsidP="003873E2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6969"/>
      </w:tblGrid>
      <w:tr w:rsidR="0061063C" w:rsidRPr="00391220" w:rsidTr="00157C85">
        <w:trPr>
          <w:cantSplit/>
          <w:trHeight w:val="272"/>
          <w:jc w:val="center"/>
        </w:trPr>
        <w:tc>
          <w:tcPr>
            <w:tcW w:w="565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565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Tornádo na Moravě 2021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Povodně a zátopové oblasti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Povodně 1997 a 2002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Extrémní sucho a teplo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Druhy povodní a Ledové povodně v historii ČR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Živelní pohromy v ČR v průběhu století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Následky bouřek a úderů blesků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 xml:space="preserve"> Přehled opatření proti Covid-19 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480" w:lineRule="auto"/>
              <w:jc w:val="left"/>
            </w:pPr>
            <w:r w:rsidRPr="00EF7603">
              <w:t>Historie a současnost zemětřesení a lavin v ČR</w:t>
            </w:r>
          </w:p>
        </w:tc>
      </w:tr>
    </w:tbl>
    <w:p w:rsidR="00D25795" w:rsidRDefault="00D25795" w:rsidP="003873E2"/>
    <w:p w:rsidR="00D25795" w:rsidRDefault="00D25795" w:rsidP="003873E2"/>
    <w:p w:rsidR="00D25795" w:rsidRDefault="00D25795" w:rsidP="003873E2"/>
    <w:p w:rsidR="00375C0E" w:rsidRPr="00D25795" w:rsidRDefault="00375C0E" w:rsidP="00D676FE">
      <w:pPr>
        <w:jc w:val="center"/>
        <w:rPr>
          <w:color w:val="FF0000"/>
        </w:rPr>
      </w:pPr>
      <w:r w:rsidRPr="00D25795">
        <w:rPr>
          <w:color w:val="FF0000"/>
        </w:rPr>
        <w:t>(pouze obor prevence kriminality)</w:t>
      </w:r>
    </w:p>
    <w:p w:rsidR="00796E8B" w:rsidRPr="00750891" w:rsidRDefault="00796E8B" w:rsidP="003873E2">
      <w:pPr>
        <w:pStyle w:val="Odstavecseseznamem"/>
        <w:spacing w:line="240" w:lineRule="auto"/>
        <w:ind w:left="426"/>
        <w:jc w:val="center"/>
        <w:rPr>
          <w:color w:val="FF0000"/>
        </w:rPr>
      </w:pPr>
    </w:p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Kriminální recidiva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Oběť trestného činu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Pomoc obětem trestných činů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Kriminogenní faktory a možnosti jejich ovlivňování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Možnosti kontroly n</w:t>
            </w:r>
            <w:r w:rsidRPr="0022566E">
              <w:t>ásiln</w:t>
            </w:r>
            <w:r>
              <w:t>é</w:t>
            </w:r>
            <w:r w:rsidRPr="0022566E">
              <w:t xml:space="preserve"> kriminalit</w:t>
            </w:r>
            <w:r>
              <w:t>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Sexuální kriminalita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Kriminalita spjatá s prostitucí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Etiologie a možnosti kontroly kriminality mládeže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</w:tr>
      <w:tr w:rsidR="0022566E" w:rsidRPr="00675836" w:rsidTr="0022566E">
        <w:trPr>
          <w:trHeight w:val="384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Kriminalita mládeže</w:t>
            </w:r>
            <w:r w:rsidR="00780115">
              <w:t>, problém naší společnosti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 w:rsidRPr="00D25795">
              <w:t>Kriminalita proti mládeži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1262E5" w:rsidRDefault="006E2353" w:rsidP="006E2353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6E2353" w:rsidRPr="00D25795" w:rsidRDefault="006E2353" w:rsidP="006E2353">
            <w:proofErr w:type="spellStart"/>
            <w:r w:rsidRPr="00D25795">
              <w:t>Kyberšikana</w:t>
            </w:r>
            <w:proofErr w:type="spellEnd"/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 xml:space="preserve">Zacházení s pachateli trestné činnosti 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ve školách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Role měst a obcí v systému prevence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Fenomenologie kybernetické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Majetková kriminalita a možnosti její kontroly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realizovaná na místní úrovni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Výkon trestního opatření u mladistvých</w:t>
            </w:r>
          </w:p>
        </w:tc>
      </w:tr>
    </w:tbl>
    <w:p w:rsidR="00750891" w:rsidRDefault="00750891" w:rsidP="00D676FE">
      <w:pPr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Městský kamerový systém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3873E2">
      <w:pPr>
        <w:spacing w:after="200"/>
        <w:contextualSpacing/>
      </w:pPr>
    </w:p>
    <w:p w:rsidR="008560CA" w:rsidRDefault="008560CA" w:rsidP="00796E8B">
      <w:pPr>
        <w:rPr>
          <w:b/>
          <w:u w:val="single"/>
        </w:rPr>
      </w:pPr>
    </w:p>
    <w:p w:rsidR="007A3E8D" w:rsidRDefault="007A3E8D" w:rsidP="007A3E8D">
      <w:pPr>
        <w:jc w:val="center"/>
        <w:rPr>
          <w:b/>
          <w:u w:val="single"/>
        </w:rPr>
      </w:pPr>
      <w:r w:rsidRPr="008560CA">
        <w:rPr>
          <w:b/>
          <w:u w:val="single"/>
        </w:rPr>
        <w:t>KRIMINALISTIKA</w:t>
      </w:r>
    </w:p>
    <w:p w:rsidR="007A3E8D" w:rsidRDefault="007A3E8D" w:rsidP="007A3E8D">
      <w:pPr>
        <w:jc w:val="center"/>
        <w:rPr>
          <w:b/>
          <w:u w:val="single"/>
        </w:rPr>
      </w:pPr>
    </w:p>
    <w:p w:rsidR="007A3E8D" w:rsidRDefault="007A3E8D" w:rsidP="007A3E8D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160" w:line="259" w:lineRule="auto"/>
            </w:pPr>
            <w:r>
              <w:t>Vybrané kriminalisticko-technické metody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Kriminalistické učení o TČ a o stopách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A3E8D" w:rsidRPr="00406A8C" w:rsidTr="00F721CC">
        <w:trPr>
          <w:trHeight w:val="70"/>
        </w:trPr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</w:t>
      </w:r>
      <w:r w:rsidR="000924DC">
        <w:rPr>
          <w:bCs/>
        </w:rPr>
        <w:t xml:space="preserve">            PaedDr. et</w:t>
      </w:r>
      <w:r>
        <w:rPr>
          <w:bCs/>
        </w:rPr>
        <w:t xml:space="preserve"> </w:t>
      </w:r>
      <w:proofErr w:type="gramStart"/>
      <w:r w:rsidR="00FD7D43">
        <w:rPr>
          <w:bCs/>
        </w:rPr>
        <w:t>Mgr.</w:t>
      </w:r>
      <w:r w:rsidR="000924DC">
        <w:rPr>
          <w:bCs/>
        </w:rPr>
        <w:t>et</w:t>
      </w:r>
      <w:proofErr w:type="gramEnd"/>
      <w:r w:rsidR="000924DC">
        <w:rPr>
          <w:bCs/>
        </w:rPr>
        <w:t xml:space="preserve"> Bc.</w:t>
      </w:r>
      <w:r w:rsidR="00750891">
        <w:rPr>
          <w:bCs/>
        </w:rPr>
        <w:t xml:space="preserve"> Dalecký</w:t>
      </w:r>
      <w:r w:rsidR="000924DC">
        <w:rPr>
          <w:bCs/>
        </w:rPr>
        <w:t xml:space="preserve"> Jan, MBA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496828">
      <w:headerReference w:type="default" r:id="rId9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16" w:rsidRDefault="00244416" w:rsidP="00A357F3">
      <w:r>
        <w:separator/>
      </w:r>
    </w:p>
  </w:endnote>
  <w:endnote w:type="continuationSeparator" w:id="0">
    <w:p w:rsidR="00244416" w:rsidRDefault="00244416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16" w:rsidRDefault="00244416" w:rsidP="00A357F3">
      <w:r>
        <w:separator/>
      </w:r>
    </w:p>
  </w:footnote>
  <w:footnote w:type="continuationSeparator" w:id="0">
    <w:p w:rsidR="00244416" w:rsidRDefault="00244416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5E1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4E0"/>
    <w:multiLevelType w:val="hybridMultilevel"/>
    <w:tmpl w:val="B4C09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4A23"/>
    <w:multiLevelType w:val="hybridMultilevel"/>
    <w:tmpl w:val="A29EFF4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C59E3"/>
    <w:multiLevelType w:val="hybridMultilevel"/>
    <w:tmpl w:val="84760CBA"/>
    <w:lvl w:ilvl="0" w:tplc="724E8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067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8"/>
  </w:num>
  <w:num w:numId="12">
    <w:abstractNumId w:val="4"/>
  </w:num>
  <w:num w:numId="13">
    <w:abstractNumId w:val="5"/>
  </w:num>
  <w:num w:numId="14">
    <w:abstractNumId w:val="7"/>
  </w:num>
  <w:num w:numId="15">
    <w:abstractNumId w:val="20"/>
  </w:num>
  <w:num w:numId="16">
    <w:abstractNumId w:val="19"/>
  </w:num>
  <w:num w:numId="17">
    <w:abstractNumId w:val="25"/>
  </w:num>
  <w:num w:numId="18">
    <w:abstractNumId w:val="22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3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661CA"/>
    <w:rsid w:val="0006734B"/>
    <w:rsid w:val="00091A36"/>
    <w:rsid w:val="000924DC"/>
    <w:rsid w:val="00097652"/>
    <w:rsid w:val="000B7945"/>
    <w:rsid w:val="00115D27"/>
    <w:rsid w:val="001262E5"/>
    <w:rsid w:val="00157C85"/>
    <w:rsid w:val="001822B1"/>
    <w:rsid w:val="00187660"/>
    <w:rsid w:val="00193233"/>
    <w:rsid w:val="001D0523"/>
    <w:rsid w:val="001F3EAB"/>
    <w:rsid w:val="00213993"/>
    <w:rsid w:val="0022566E"/>
    <w:rsid w:val="00244416"/>
    <w:rsid w:val="002F1EB1"/>
    <w:rsid w:val="00321196"/>
    <w:rsid w:val="00357C3A"/>
    <w:rsid w:val="00367E53"/>
    <w:rsid w:val="00374E10"/>
    <w:rsid w:val="00375C0E"/>
    <w:rsid w:val="003873E2"/>
    <w:rsid w:val="00391220"/>
    <w:rsid w:val="003A3CEC"/>
    <w:rsid w:val="00406A8C"/>
    <w:rsid w:val="0041102B"/>
    <w:rsid w:val="00423296"/>
    <w:rsid w:val="004243D2"/>
    <w:rsid w:val="00434691"/>
    <w:rsid w:val="00451AB7"/>
    <w:rsid w:val="00457BD0"/>
    <w:rsid w:val="00471558"/>
    <w:rsid w:val="0048089B"/>
    <w:rsid w:val="004818D0"/>
    <w:rsid w:val="00496828"/>
    <w:rsid w:val="004A4DAF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1063C"/>
    <w:rsid w:val="0065081E"/>
    <w:rsid w:val="006711B6"/>
    <w:rsid w:val="00675836"/>
    <w:rsid w:val="006A5468"/>
    <w:rsid w:val="006C2D39"/>
    <w:rsid w:val="006E2353"/>
    <w:rsid w:val="006E29D1"/>
    <w:rsid w:val="00701744"/>
    <w:rsid w:val="007077AC"/>
    <w:rsid w:val="00716309"/>
    <w:rsid w:val="00750891"/>
    <w:rsid w:val="0077439E"/>
    <w:rsid w:val="00780115"/>
    <w:rsid w:val="007957A2"/>
    <w:rsid w:val="00796E8B"/>
    <w:rsid w:val="007A3AE6"/>
    <w:rsid w:val="007A3E8D"/>
    <w:rsid w:val="007B48AB"/>
    <w:rsid w:val="007D29C0"/>
    <w:rsid w:val="007F3D2E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14E81"/>
    <w:rsid w:val="00A24630"/>
    <w:rsid w:val="00A357F3"/>
    <w:rsid w:val="00A80E42"/>
    <w:rsid w:val="00A900E0"/>
    <w:rsid w:val="00AB1FEA"/>
    <w:rsid w:val="00AC6315"/>
    <w:rsid w:val="00AC733F"/>
    <w:rsid w:val="00AE2628"/>
    <w:rsid w:val="00B05425"/>
    <w:rsid w:val="00B144CF"/>
    <w:rsid w:val="00B270C3"/>
    <w:rsid w:val="00B421DB"/>
    <w:rsid w:val="00B50725"/>
    <w:rsid w:val="00B63F94"/>
    <w:rsid w:val="00B75478"/>
    <w:rsid w:val="00BD5B80"/>
    <w:rsid w:val="00BE3D80"/>
    <w:rsid w:val="00C0472C"/>
    <w:rsid w:val="00C72981"/>
    <w:rsid w:val="00C9573A"/>
    <w:rsid w:val="00CA145D"/>
    <w:rsid w:val="00CA6001"/>
    <w:rsid w:val="00CB0403"/>
    <w:rsid w:val="00CB5A78"/>
    <w:rsid w:val="00CF77BF"/>
    <w:rsid w:val="00D15D2E"/>
    <w:rsid w:val="00D25795"/>
    <w:rsid w:val="00D3209E"/>
    <w:rsid w:val="00D676FE"/>
    <w:rsid w:val="00D7780A"/>
    <w:rsid w:val="00D848E8"/>
    <w:rsid w:val="00D86A00"/>
    <w:rsid w:val="00DA0907"/>
    <w:rsid w:val="00DA7EC7"/>
    <w:rsid w:val="00DC275D"/>
    <w:rsid w:val="00DC66A4"/>
    <w:rsid w:val="00DE1DB6"/>
    <w:rsid w:val="00E00661"/>
    <w:rsid w:val="00E07C49"/>
    <w:rsid w:val="00E12F69"/>
    <w:rsid w:val="00E1583B"/>
    <w:rsid w:val="00E20A35"/>
    <w:rsid w:val="00E7193A"/>
    <w:rsid w:val="00E73DF7"/>
    <w:rsid w:val="00EA3D0E"/>
    <w:rsid w:val="00EC6BE3"/>
    <w:rsid w:val="00EF31DB"/>
    <w:rsid w:val="00F4537A"/>
    <w:rsid w:val="00F479A4"/>
    <w:rsid w:val="00F66310"/>
    <w:rsid w:val="00FA2FF4"/>
    <w:rsid w:val="00FD1AE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5432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11</cp:revision>
  <cp:lastPrinted>2021-04-08T07:32:00Z</cp:lastPrinted>
  <dcterms:created xsi:type="dcterms:W3CDTF">2022-02-11T06:55:00Z</dcterms:created>
  <dcterms:modified xsi:type="dcterms:W3CDTF">2022-04-26T10:10:00Z</dcterms:modified>
</cp:coreProperties>
</file>