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AA2387">
      <w:r>
        <w:rPr>
          <w:noProof/>
        </w:rPr>
        <w:drawing>
          <wp:anchor distT="0" distB="0" distL="114300" distR="114300" simplePos="0" relativeHeight="251657728" behindDoc="0" locked="0" layoutInCell="1" allowOverlap="1" wp14:anchorId="3E59428E" wp14:editId="015B20AD">
            <wp:simplePos x="0" y="0"/>
            <wp:positionH relativeFrom="column">
              <wp:posOffset>-644525</wp:posOffset>
            </wp:positionH>
            <wp:positionV relativeFrom="paragraph">
              <wp:posOffset>276225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 xml:space="preserve">CH PRACÍ NA ŠKOLNÍ ROK </w:t>
      </w:r>
      <w:r w:rsidR="00AA2387">
        <w:rPr>
          <w:b/>
        </w:rPr>
        <w:t>2023/2024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AA2387" w:rsidRDefault="00375C0E" w:rsidP="00375C0E">
      <w:pPr>
        <w:tabs>
          <w:tab w:val="left" w:pos="1050"/>
        </w:tabs>
        <w:jc w:val="center"/>
        <w:rPr>
          <w:b/>
          <w:color w:val="FF0000"/>
        </w:rPr>
      </w:pPr>
      <w:r w:rsidRPr="00AA2387">
        <w:rPr>
          <w:b/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AA2387">
        <w:trPr>
          <w:trHeight w:val="343"/>
        </w:trPr>
        <w:tc>
          <w:tcPr>
            <w:tcW w:w="1134" w:type="dxa"/>
            <w:vAlign w:val="center"/>
          </w:tcPr>
          <w:p w:rsidR="00D15D2E" w:rsidRPr="00953E07" w:rsidRDefault="00D15D2E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AA2387">
            <w:pPr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AA2387">
        <w:trPr>
          <w:trHeight w:val="278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AA2387">
        <w:trPr>
          <w:trHeight w:val="267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AA2387">
        <w:trPr>
          <w:trHeight w:val="272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AA2387">
        <w:trPr>
          <w:trHeight w:val="275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AA2387">
            <w:r w:rsidRPr="00953E07">
              <w:t>Trestní řízení, jeho průběh a spolupráce OČTŘ</w:t>
            </w:r>
          </w:p>
          <w:p w:rsidR="00DE1DB6" w:rsidRPr="00953E07" w:rsidRDefault="00DE1DB6" w:rsidP="00AA2387">
            <w:pPr>
              <w:contextualSpacing/>
            </w:pPr>
          </w:p>
        </w:tc>
      </w:tr>
    </w:tbl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  <w:r w:rsidR="00EC5766">
        <w:rPr>
          <w:b/>
          <w:u w:val="single"/>
        </w:rPr>
        <w:t>A SOCIOLOGIE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Syndrom vyhoření ve složkách IZS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Rozvod rodičů a jeho vliv na dospělý život dětí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Strategie psychologických válečných operací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Sociálně úspěšní psychopati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Úzkostné poruchy a jejich terapie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375C0E" w:rsidRPr="00AA2387" w:rsidRDefault="00375C0E" w:rsidP="00B63F94">
      <w:pPr>
        <w:tabs>
          <w:tab w:val="left" w:pos="1050"/>
        </w:tabs>
        <w:jc w:val="center"/>
        <w:rPr>
          <w:b/>
          <w:color w:val="FF0000"/>
        </w:rPr>
      </w:pPr>
      <w:r w:rsidRPr="00AA2387">
        <w:rPr>
          <w:b/>
          <w:color w:val="FF0000"/>
        </w:rPr>
        <w:t xml:space="preserve">(pouze </w:t>
      </w:r>
      <w:r w:rsidR="00796E8B" w:rsidRPr="00AA2387">
        <w:rPr>
          <w:b/>
          <w:color w:val="FF0000"/>
        </w:rPr>
        <w:t xml:space="preserve">obor </w:t>
      </w:r>
      <w:r w:rsidRPr="00AA2387">
        <w:rPr>
          <w:b/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D676FE" w:rsidRDefault="00D676FE" w:rsidP="00496828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Exploze zemního plynu v budovách příčiny a následky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Otravy oxidem uhelnatým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Výbuch hnojiva v Libanonu v přístavu Bejrút 2020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4B28D7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Havárie jaderné elektrárny </w:t>
            </w:r>
            <w:proofErr w:type="spellStart"/>
            <w:r w:rsidRPr="00E668B9">
              <w:t>Fukušima</w:t>
            </w:r>
            <w:proofErr w:type="spellEnd"/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Havárie jaderných elektráren</w:t>
            </w:r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Biologické zbraně a </w:t>
            </w:r>
            <w:proofErr w:type="spellStart"/>
            <w:r w:rsidRPr="00E668B9">
              <w:t>Coronavir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Kauza </w:t>
            </w:r>
            <w:proofErr w:type="spellStart"/>
            <w:r w:rsidRPr="00E668B9">
              <w:t>Vrbětice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Případ </w:t>
            </w:r>
            <w:proofErr w:type="spellStart"/>
            <w:r w:rsidRPr="00E668B9">
              <w:t>Novičok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Zbraně hromadného ničení a jaderná válka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Chemické havárie ve vybrané oblasti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 Příčiny a důsledky </w:t>
            </w:r>
            <w:proofErr w:type="spellStart"/>
            <w:r w:rsidRPr="00E668B9">
              <w:t>Blackoutu</w:t>
            </w:r>
            <w:proofErr w:type="spellEnd"/>
            <w:r w:rsidRPr="00E668B9">
              <w:t xml:space="preserve"> v ČR</w:t>
            </w:r>
          </w:p>
        </w:tc>
      </w:tr>
    </w:tbl>
    <w:p w:rsidR="00D676FE" w:rsidRDefault="00D676FE" w:rsidP="00496828">
      <w:pPr>
        <w:pStyle w:val="Odstavecseseznamem"/>
        <w:spacing w:line="240" w:lineRule="auto"/>
        <w:ind w:left="0"/>
        <w:rPr>
          <w:b/>
          <w:u w:val="single"/>
        </w:rPr>
      </w:pPr>
    </w:p>
    <w:p w:rsidR="00AA2387" w:rsidRDefault="00AA2387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lastRenderedPageBreak/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969"/>
      </w:tblGrid>
      <w:tr w:rsidR="0061063C" w:rsidRPr="00391220" w:rsidTr="00157C85">
        <w:trPr>
          <w:cantSplit/>
          <w:trHeight w:val="272"/>
          <w:jc w:val="center"/>
        </w:trPr>
        <w:tc>
          <w:tcPr>
            <w:tcW w:w="565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565" w:type="pct"/>
          </w:tcPr>
          <w:p w:rsidR="0061063C" w:rsidRPr="00EF7603" w:rsidRDefault="0061063C" w:rsidP="00AA2387">
            <w:r w:rsidRPr="00EF7603">
              <w:t>Tornádo na Moravě 2021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AA2387" w:rsidRDefault="00AA2387" w:rsidP="00AA2387">
            <w:r w:rsidRPr="00AA2387">
              <w:rPr>
                <w:color w:val="000000"/>
                <w:shd w:val="clear" w:color="auto" w:fill="FFFFFF"/>
              </w:rPr>
              <w:t>Zemětřesení v Turecku a Sýrii 2023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Povodně 1997 a 2002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Extrémní sucho a teplo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Druhy povodní a Ledové povodně v historii ČR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Živelní pohromy v ČR v průběhu století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Následky bouřek a úderů blesků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 xml:space="preserve">Přehled opatření proti Covid-19 </w:t>
            </w:r>
          </w:p>
        </w:tc>
      </w:tr>
      <w:tr w:rsidR="0061063C" w:rsidRPr="00391220" w:rsidTr="00AA2387">
        <w:trPr>
          <w:cantSplit/>
          <w:trHeight w:val="291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AA2387">
            <w:r w:rsidRPr="00EF7603">
              <w:t>Historie a současnost zemětřesení a lavin v ČR</w:t>
            </w:r>
          </w:p>
        </w:tc>
      </w:tr>
    </w:tbl>
    <w:p w:rsidR="00D25795" w:rsidRDefault="00D25795" w:rsidP="003873E2"/>
    <w:p w:rsidR="00D25795" w:rsidRDefault="00D25795" w:rsidP="003873E2"/>
    <w:p w:rsidR="00375C0E" w:rsidRPr="00AA2387" w:rsidRDefault="00375C0E" w:rsidP="00D676FE">
      <w:pPr>
        <w:jc w:val="center"/>
        <w:rPr>
          <w:b/>
          <w:color w:val="FF0000"/>
        </w:rPr>
      </w:pPr>
      <w:r w:rsidRPr="00AA2387">
        <w:rPr>
          <w:b/>
          <w:color w:val="FF0000"/>
        </w:rPr>
        <w:t>(pouze obor prevence kriminality)</w:t>
      </w:r>
    </w:p>
    <w:p w:rsidR="00796E8B" w:rsidRPr="00AA2387" w:rsidRDefault="00796E8B" w:rsidP="003873E2">
      <w:pPr>
        <w:pStyle w:val="Odstavecseseznamem"/>
        <w:spacing w:line="240" w:lineRule="auto"/>
        <w:ind w:left="426"/>
        <w:jc w:val="center"/>
        <w:rPr>
          <w:b/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AA2387">
        <w:trPr>
          <w:trHeight w:val="213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AA2387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796E8B">
      <w:pPr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AA2387">
        <w:trPr>
          <w:trHeight w:val="311"/>
        </w:trPr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pPr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AA2387">
      <w:headerReference w:type="default" r:id="rId9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77" w:rsidRDefault="00D26E77" w:rsidP="00A357F3">
      <w:r>
        <w:separator/>
      </w:r>
    </w:p>
  </w:endnote>
  <w:endnote w:type="continuationSeparator" w:id="0">
    <w:p w:rsidR="00D26E77" w:rsidRDefault="00D26E77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77" w:rsidRDefault="00D26E77" w:rsidP="00A357F3">
      <w:r>
        <w:separator/>
      </w:r>
    </w:p>
  </w:footnote>
  <w:footnote w:type="continuationSeparator" w:id="0">
    <w:p w:rsidR="00D26E77" w:rsidRDefault="00D26E77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D0523"/>
    <w:rsid w:val="001F3EAB"/>
    <w:rsid w:val="00213993"/>
    <w:rsid w:val="0022566E"/>
    <w:rsid w:val="00244416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A2387"/>
    <w:rsid w:val="00AB1FEA"/>
    <w:rsid w:val="00AC6315"/>
    <w:rsid w:val="00AC733F"/>
    <w:rsid w:val="00AE2628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26E77"/>
    <w:rsid w:val="00D3209E"/>
    <w:rsid w:val="00D5218D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271F"/>
    <w:rsid w:val="00E07C49"/>
    <w:rsid w:val="00E12F69"/>
    <w:rsid w:val="00E1583B"/>
    <w:rsid w:val="00E20A35"/>
    <w:rsid w:val="00E7193A"/>
    <w:rsid w:val="00E73DF7"/>
    <w:rsid w:val="00EA3D0E"/>
    <w:rsid w:val="00EC5766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42112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5450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4</cp:revision>
  <cp:lastPrinted>2021-04-08T07:32:00Z</cp:lastPrinted>
  <dcterms:created xsi:type="dcterms:W3CDTF">2023-02-15T12:41:00Z</dcterms:created>
  <dcterms:modified xsi:type="dcterms:W3CDTF">2023-02-16T09:33:00Z</dcterms:modified>
</cp:coreProperties>
</file>